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F9FE" w14:textId="77777777" w:rsidR="000B7F14" w:rsidRDefault="000B7F14" w:rsidP="000B7F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7"/>
          <w:szCs w:val="37"/>
        </w:rPr>
        <w:t>Friars Primary Foundation School</w:t>
      </w:r>
    </w:p>
    <w:p w14:paraId="3D7984BA" w14:textId="77777777" w:rsidR="000B7F14" w:rsidRPr="000B7F14" w:rsidRDefault="000B7F14" w:rsidP="000B7F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b/>
          <w:bCs/>
          <w:color w:val="000000"/>
          <w:sz w:val="37"/>
          <w:szCs w:val="37"/>
        </w:rPr>
        <w:t>GOVERNING BOARD</w:t>
      </w:r>
    </w:p>
    <w:p w14:paraId="79E5AC5B" w14:textId="77777777" w:rsidR="000B7F14" w:rsidRDefault="000B7F14" w:rsidP="000B7F14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b/>
          <w:bCs/>
          <w:color w:val="000000"/>
          <w:sz w:val="37"/>
          <w:szCs w:val="37"/>
        </w:rPr>
        <w:t>PAY COMMITTEE - TERMS OF REFERENCE 2023-24</w:t>
      </w:r>
    </w:p>
    <w:p w14:paraId="7B1228A0" w14:textId="77777777" w:rsidR="000B7F14" w:rsidRDefault="000B7F14" w:rsidP="000B7F1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</w:p>
    <w:p w14:paraId="02AD6EDA" w14:textId="77777777" w:rsidR="000B7F14" w:rsidRPr="000B7F14" w:rsidRDefault="000B7F14" w:rsidP="000B7F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Membership 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528243E3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MS Mincho" w:eastAsia="MS Mincho" w:hAnsi="MS Mincho" w:cs="MS Mincho"/>
          <w:bCs/>
          <w:color w:val="000000"/>
          <w:sz w:val="32"/>
          <w:szCs w:val="32"/>
        </w:rPr>
      </w:pPr>
      <w:r w:rsidRPr="000B7F14">
        <w:rPr>
          <w:rFonts w:ascii="Arial" w:hAnsi="Arial" w:cs="Arial"/>
          <w:bCs/>
          <w:color w:val="000000"/>
          <w:sz w:val="32"/>
          <w:szCs w:val="32"/>
        </w:rPr>
        <w:t>The membership of the Committee shall consist of not less than three governors</w:t>
      </w:r>
      <w:r>
        <w:rPr>
          <w:rFonts w:ascii="Arial" w:hAnsi="Arial" w:cs="Arial"/>
          <w:bCs/>
          <w:color w:val="000000"/>
          <w:sz w:val="32"/>
          <w:szCs w:val="32"/>
        </w:rPr>
        <w:t>,</w:t>
      </w:r>
      <w:r w:rsidRPr="000B7F14">
        <w:rPr>
          <w:rFonts w:ascii="Arial" w:hAnsi="Arial" w:cs="Arial"/>
          <w:bCs/>
          <w:color w:val="000000"/>
          <w:sz w:val="32"/>
          <w:szCs w:val="32"/>
        </w:rPr>
        <w:t xml:space="preserve"> none of whom are paid to work at the school or parents of children currently attending the school. </w:t>
      </w:r>
      <w:r w:rsidRPr="000B7F14">
        <w:rPr>
          <w:rFonts w:ascii="MS Mincho" w:eastAsia="MS Mincho" w:hAnsi="MS Mincho" w:cs="MS Mincho"/>
          <w:bCs/>
          <w:color w:val="000000"/>
          <w:sz w:val="32"/>
          <w:szCs w:val="32"/>
        </w:rPr>
        <w:t> </w:t>
      </w:r>
    </w:p>
    <w:p w14:paraId="6A733920" w14:textId="77777777" w:rsidR="000B7F14" w:rsidRP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MS Mincho" w:eastAsia="MS Mincho" w:hAnsi="MS Mincho" w:cs="MS Mincho"/>
          <w:bCs/>
          <w:color w:val="000000"/>
          <w:sz w:val="32"/>
          <w:szCs w:val="32"/>
        </w:rPr>
      </w:pPr>
    </w:p>
    <w:p w14:paraId="6163736A" w14:textId="77777777" w:rsidR="000B7F14" w:rsidRPr="000B7F14" w:rsidRDefault="000B7F14" w:rsidP="000B7F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Quorum 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3F4F8DD6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MS Mincho" w:eastAsia="MS Mincho" w:hAnsi="MS Mincho" w:cs="MS Mincho"/>
          <w:b/>
          <w:bCs/>
          <w:color w:val="000000"/>
          <w:sz w:val="32"/>
          <w:szCs w:val="32"/>
        </w:rPr>
      </w:pPr>
      <w:r w:rsidRPr="000B7F14">
        <w:rPr>
          <w:rFonts w:ascii="Arial" w:hAnsi="Arial" w:cs="Arial"/>
          <w:bCs/>
          <w:color w:val="000000"/>
          <w:sz w:val="32"/>
          <w:szCs w:val="32"/>
        </w:rPr>
        <w:t>The quorum for meetings of the Committee shall be three governors.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6A012CE5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244B72" w14:textId="77777777" w:rsidR="000B7F14" w:rsidRPr="000B7F14" w:rsidRDefault="000B7F14" w:rsidP="000B7F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Frequency of Meetings 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6D6F30B9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MS Mincho" w:eastAsia="MS Mincho" w:hAnsi="MS Mincho" w:cs="MS Mincho"/>
          <w:b/>
          <w:bCs/>
          <w:color w:val="000000"/>
          <w:sz w:val="32"/>
          <w:szCs w:val="32"/>
        </w:rPr>
      </w:pPr>
      <w:r w:rsidRPr="000B7F14">
        <w:rPr>
          <w:rFonts w:ascii="Arial" w:hAnsi="Arial" w:cs="Arial"/>
          <w:bCs/>
          <w:color w:val="000000"/>
          <w:sz w:val="32"/>
          <w:szCs w:val="32"/>
        </w:rPr>
        <w:t xml:space="preserve">The Committee shall meet at least once per year. 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5DAD2104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5D88160" w14:textId="77777777" w:rsidR="000B7F14" w:rsidRDefault="000B7F14" w:rsidP="000B7F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Delegated Functions 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6DE8216E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4.1   </w:t>
      </w:r>
      <w:r>
        <w:rPr>
          <w:rFonts w:ascii="Arial" w:hAnsi="Arial" w:cs="Arial"/>
          <w:color w:val="000000"/>
          <w:sz w:val="32"/>
          <w:szCs w:val="32"/>
        </w:rPr>
        <w:t xml:space="preserve">To adopt and review a pay policy. </w:t>
      </w:r>
      <w:r>
        <w:rPr>
          <w:rFonts w:ascii="MS Mincho" w:eastAsia="MS Mincho" w:hAnsi="MS Mincho" w:cs="MS Mincho"/>
          <w:color w:val="000000"/>
        </w:rPr>
        <w:t> </w:t>
      </w:r>
    </w:p>
    <w:p w14:paraId="7D5765D4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4.2   </w:t>
      </w:r>
      <w:r>
        <w:rPr>
          <w:rFonts w:ascii="Arial" w:hAnsi="Arial" w:cs="Arial"/>
          <w:color w:val="000000"/>
          <w:sz w:val="32"/>
          <w:szCs w:val="32"/>
        </w:rPr>
        <w:t xml:space="preserve">To adopt and review a performance management policy. </w:t>
      </w:r>
      <w:r>
        <w:rPr>
          <w:rFonts w:ascii="MS Mincho" w:eastAsia="MS Mincho" w:hAnsi="MS Mincho" w:cs="MS Mincho"/>
          <w:color w:val="000000"/>
        </w:rPr>
        <w:t> </w:t>
      </w:r>
    </w:p>
    <w:p w14:paraId="1CEA7360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4.3   </w:t>
      </w:r>
      <w:r>
        <w:rPr>
          <w:rFonts w:ascii="Arial" w:hAnsi="Arial" w:cs="Arial"/>
          <w:color w:val="000000"/>
          <w:sz w:val="32"/>
          <w:szCs w:val="32"/>
        </w:rPr>
        <w:t xml:space="preserve">To receive the Headteacher’s annual written report about the 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operation of the performance management policy. </w:t>
      </w:r>
      <w:r>
        <w:rPr>
          <w:rFonts w:ascii="MS Mincho" w:eastAsia="MS Mincho" w:hAnsi="MS Mincho" w:cs="MS Mincho"/>
          <w:color w:val="000000"/>
        </w:rPr>
        <w:t> </w:t>
      </w:r>
    </w:p>
    <w:p w14:paraId="6958D901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4.4   </w:t>
      </w:r>
      <w:r>
        <w:rPr>
          <w:rFonts w:ascii="Arial" w:hAnsi="Arial" w:cs="Arial"/>
          <w:color w:val="000000"/>
          <w:sz w:val="32"/>
          <w:szCs w:val="32"/>
        </w:rPr>
        <w:t xml:space="preserve">To carry out an annual salary review of teaching staff (and if appropriate other staff) working at the school. </w:t>
      </w:r>
      <w:r>
        <w:rPr>
          <w:rFonts w:ascii="MS Mincho" w:eastAsia="MS Mincho" w:hAnsi="MS Mincho" w:cs="MS Mincho"/>
          <w:color w:val="000000"/>
        </w:rPr>
        <w:t> </w:t>
      </w:r>
    </w:p>
    <w:p w14:paraId="1089DEDF" w14:textId="77777777" w:rsidR="000B7F14" w:rsidRP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4.5   </w:t>
      </w:r>
      <w:r>
        <w:rPr>
          <w:rFonts w:ascii="Arial" w:hAnsi="Arial" w:cs="Arial"/>
          <w:color w:val="000000"/>
          <w:sz w:val="32"/>
          <w:szCs w:val="32"/>
        </w:rPr>
        <w:t xml:space="preserve">To consider and determine recommendations for performance pay awards. </w:t>
      </w:r>
      <w:r>
        <w:rPr>
          <w:rFonts w:ascii="MS Mincho" w:eastAsia="MS Mincho" w:hAnsi="MS Mincho" w:cs="MS Mincho"/>
          <w:color w:val="000000"/>
        </w:rPr>
        <w:t> </w:t>
      </w:r>
    </w:p>
    <w:p w14:paraId="1437CCE2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4.6   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To determine any other matters referred to the committee by the Governing Board. </w:t>
      </w:r>
    </w:p>
    <w:p w14:paraId="3BBBB299" w14:textId="77777777" w:rsidR="000B7F14" w:rsidRDefault="000B7F14" w:rsidP="000B7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ABF6FC6" w14:textId="77777777" w:rsidR="000B7F14" w:rsidRDefault="000B7F14" w:rsidP="000B7F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5. Reporting to the Governing Body </w:t>
      </w:r>
    </w:p>
    <w:p w14:paraId="0D2FD0C1" w14:textId="77777777" w:rsidR="000B7F14" w:rsidRDefault="000B7F14" w:rsidP="000B7F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Committee will report to the full Governing Board by presenting the minutes (or draft minutes) of its meeting(s) to the next full Governing Board meeting following a Pay Committee meeting. </w:t>
      </w:r>
    </w:p>
    <w:p w14:paraId="7E683D13" w14:textId="77777777" w:rsidR="00B17BA3" w:rsidRDefault="0024222A"/>
    <w:sectPr w:rsidR="00B17BA3" w:rsidSect="002442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14"/>
    <w:rsid w:val="000B7F14"/>
    <w:rsid w:val="0024222A"/>
    <w:rsid w:val="00310112"/>
    <w:rsid w:val="005F0C81"/>
    <w:rsid w:val="00B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9D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Webb</dc:creator>
  <cp:keywords/>
  <dc:description/>
  <cp:lastModifiedBy>Imogen Coward</cp:lastModifiedBy>
  <cp:revision>2</cp:revision>
  <dcterms:created xsi:type="dcterms:W3CDTF">2024-01-14T19:42:00Z</dcterms:created>
  <dcterms:modified xsi:type="dcterms:W3CDTF">2024-01-14T19:42:00Z</dcterms:modified>
</cp:coreProperties>
</file>